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HSV2-TPK-2026-04-06-UNASSIGNED-RK-01_Record_Retenti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1213962483856591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RK-01 | Record Retention Policy (5-Year Minimum)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https://app.asana.com/1/1213645083721316/project/1213908611400789/task/1213962483856591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5-year retention: CDD records, transaction records, correspondence, STR copies, training records, risk assessments. Define storage, access controls, destruction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RK-01 | Record Retention Policy (5-Year Minimum) - ENTITY: GRAMALTIN AS 5-year retention: CDD records, transaction records, correspondence, STR copies, training records, risk assessments. Define storage, access controls, destruction procedures. Regulatory Basis: UAE FDL No.(10) of 2025 Art. 19; Cabinet Resolution 134/2025 Art. 53-54;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