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HSV2-TPK-2026-04-06-UNASSIGNED-RK-01_Record_Retenti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1213964638919263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RK-01 | Record Retention Policy (5-Year Minimum)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5-year retention: CDD records, transaction records, correspondence, STR copies, training records, risk assessments. Define storage, access controls, destruction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RK-01 | Record Retention Policy (5-Year Minimum) - ENTITY: FG LLC 5-year retention: CDD records, transaction records, correspondence, STR copies, training records, risk assessments. Define storage, access controls, destruction procedures. Regulatory Basis: UAE FDL No.(10) of 2025 Art. 19; Cabinet Resolution 134/2025 Art. 53-54;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