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HSV2-TPK-2026-04-06-UNASSIGNED-RK-03_Data_Protectio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RK-03 | Data Protection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DPIA for compliance data: lawful basis, data minimization, security measures, cross-border transfers, subject access requests.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45/2021; UAE FDL No.(10) of 2025 Art. 19;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DPIA for compliance data: lawful basis, data minimization, security measures, cross-border transfers, subject access requests. Regulatory Basis: UAE Federal Decree-Law No. 45/2021; UAE FDL No.(10) of 2025 Art. 19;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