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HSV2-TPK-2026-04-06-UNASSIGNED-RK-03_Data_Protectio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1213959825122819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RK-03 | Data Protection Impact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https://app.asana.com/1/1213645083721316/project/1213908611350810/task/1213959825122819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DPIA for compliance data: lawful basis, data minimization, security measures, cross-border transfers, subject access requests.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45/2021; UAE FDL No.(10) of 2025 Art. 19;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RK-03 | Data Protection Impact Assessment - ENTITY: MADISON LLC DPIA for compliance data: lawful basis, data minimization, security measures, cross-border transfers, subject access requests. Regulatory Basis: UAE Federal Decree-Law No. 45/2021; UAE FDL No.(10) of 2025 Art. 19; FATF Rec. 11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