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HSV2-TPK-2026-04-06-UNASSIGNED-RK-03_Data_Protectio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1213962483856589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RK-03 | Data Protection Impact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https://app.asana.com/1/1213645083721316/project/1213908611400789/task/1213962483856589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DPIA for compliance data: lawful basis, data minimization, security measures, cross-border transfers, subject access requests.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45/2021; UAE FDL No.(10) of 2025 Art. 19;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RECORD KEEPING AND DATA PROTECTION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RK-03 | Data Protection Impact Assessment - ENTITY: GRAMALTIN AS DPIA for compliance data: lawful basis, data minimization, security measures, cross-border transfers, subject access requests. Regulatory Basis: UAE Federal Decree-Law No. 45/2021; UAE FDL No.(10) of 2025 Art. 19; FATF Rec. 11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