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HSV2-TPK-2026-04-06-UNASSIGNED-RK-03_Data_Protectio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1213964639470784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RK-03 | Data Protection Impact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https://app.asana.com/1/1213645083721316/project/1213908827982041/task/1213964639470784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DPIA for compliance data: lawful basis, data minimization, security measures, cross-border transfers, subject access requests.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45/2021; UAE FDL No.(10) of 2025 Art. 19;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RK-03 | Data Protection Impact Assessment - ENTITY: NAPLES LLC DPIA for compliance data: lawful basis, data minimization, security measures, cross-border transfers, subject access requests. Regulatory Basis: UAE Federal Decree-Law No. 45/2021; UAE FDL No.(10) of 2025 Art. 19; FATF Rec. 11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