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HSV2-TPK-2026-04-06-UNASSIGNED-RK-05_Regulatory_Aut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RK-05 | Regulatory Authority Information Request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Responding to regulator requests (MOE, FIU, CBUAE, EOCN): verification of authority, scope, timeline, document compilation, privileged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15, 20; Cabinet Resolution 134/2025 Art. 18-19, 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Responding to regulator requests (MOE, FIU, CBUAE, EOCN): verification of authority, scope, timeline, document compilation, privileged material. Regulatory Basis: UAE FDL No.(10) of 2025 Art. 15, 20; Cabinet Resolution 134/2025 Art. 18-19, 53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