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1213962483856587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HSV2-TPK-2026-04-06-UNASSIGNED-RK-05_Regulatory_Aut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1213962483856587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RK-05 | Regulatory Authority Information Request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1213962483856587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https://app.asana.com/1/1213645083721316/project/1213908611400789/task/1213962483856587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Responding to regulator requests (MOE, FIU, CBUAE, EOCN): verification of authority, scope, timeline, document compilation, privileged material.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15, 20; Cabinet Resolution 134/2025 Art. 18-19, 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RECORD KEEPING AND DATA PROTECTION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RK-05 | Regulatory Authority Information Request Protocol - ENTITY: GRAMALTIN AS Responding to regulator requests (MOE, FIU, CBUAE, EOCN): verification of authority, scope, timeline, document compilation, privileged material. Regulatory Basis: UAE FDL No.(10) of 2025 Art. 15, 20; Cabinet Resolution 134/2025 Art. 18-19, 53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