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HSV2-TPK-2026-04-06-UNASSIGNED-RK-05_Regulatory_Aut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1213964638919259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RK-05 | Regulatory Authority Information Request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https://app.asana.com/1/1213645083721316/project/1213909833048586/task/1213964638919259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Responding to regulator requests (MOE, FIU, CBUAE, EOCN): verification of authority, scope, timeline, document compilation, privileged material.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15, 20; Cabinet Resolution 134/2025 Art. 18-19, 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RK-05 | Regulatory Authority Information Request Protocol - ENTITY: FG LLC Responding to regulator requests (MOE, FIU, CBUAE, EOCN): verification of authority, scope, timeline, document compilation, privileged material. Regulatory Basis: UAE FDL No.(10) of 2025 Art. 15, 20; Cabinet Resolution 134/2025 Art. 18-19, 53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