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TASK COMPLIANCE PACK</w:t>
      </w:r>
    </w:p>
    <w:p>
      <w:pPr>
        <w:spacing w:after="0"/>
      </w:pPr>
      <w:r>
        <w:rPr>
          <w:rFonts w:ascii="Courier New" w:hAnsi="Courier New" w:cs="Courier New"/>
          <w:sz w:val="20"/>
        </w:rPr>
        <w:t xml:space="preserve">Entity UNASSIGNED / Task 1213959825119954</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HSV2-TPK-2026-04-06-UNASSIGNED-RS-RF02_Step_2_Failu</w:t>
      </w:r>
    </w:p>
    <w:p>
      <w:pPr>
        <w:spacing w:after="0"/>
      </w:pPr>
      <w:r>
        <w:rPr>
          <w:rFonts w:ascii="Courier New" w:hAnsi="Courier New" w:cs="Courier New"/>
          <w:sz w:val="20"/>
        </w:rPr>
        <w:t xml:space="preserve">Classification:       Confidential. For MLRO review and regulator disclosure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Pack generated for Asana task 1213959825119954 on 2026-04-06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SECTION 1. TASK IDENTIFICATION</w:t>
      </w:r>
    </w:p>
    <w:p>
      <w:pPr>
        <w:spacing w:after="0"/>
      </w:pPr>
    </w:p>
    <w:p>
      <w:pPr>
        <w:spacing w:after="0"/>
      </w:pPr>
      <w:r>
        <w:rPr>
          <w:rFonts w:ascii="Courier New" w:hAnsi="Courier New" w:cs="Courier New"/>
          <w:sz w:val="20"/>
        </w:rPr>
        <w:t xml:space="preserve">Task name:         RS-RF02 | Step 2 Failure: Risk Identification Gaps</w:t>
      </w:r>
    </w:p>
    <w:p>
      <w:pPr>
        <w:spacing w:after="0"/>
      </w:pPr>
      <w:r>
        <w:rPr>
          <w:rFonts w:ascii="Courier New" w:hAnsi="Courier New" w:cs="Courier New"/>
          <w:sz w:val="20"/>
        </w:rPr>
        <w:t xml:space="preserve">Task reference:    1213959825119954</w:t>
      </w:r>
    </w:p>
    <w:p>
      <w:pPr>
        <w:spacing w:after="0"/>
      </w:pPr>
      <w:r>
        <w:rPr>
          <w:rFonts w:ascii="Courier New" w:hAnsi="Courier New" w:cs="Courier New"/>
          <w:sz w:val="20"/>
        </w:rPr>
        <w:t xml:space="preserve">Project:           MADISON LLC - COMPLIANCE PROGRAMME 2026</w:t>
      </w:r>
    </w:p>
    <w:p>
      <w:pPr>
        <w:spacing w:after="0"/>
      </w:pPr>
      <w:r>
        <w:rPr>
          <w:rFonts w:ascii="Courier New" w:hAnsi="Courier New" w:cs="Courier New"/>
          <w:sz w:val="20"/>
        </w:rPr>
        <w:t xml:space="preserve">Reporting entity:  UNASSIGNED</w:t>
      </w:r>
    </w:p>
    <w:p>
      <w:pPr>
        <w:spacing w:after="0"/>
      </w:pPr>
      <w:r>
        <w:rPr>
          <w:rFonts w:ascii="Courier New" w:hAnsi="Courier New" w:cs="Courier New"/>
          <w:sz w:val="20"/>
        </w:rPr>
        <w:t xml:space="preserve">Assignee:          Luisa Fernanda</w:t>
      </w:r>
    </w:p>
    <w:p>
      <w:pPr>
        <w:spacing w:after="0"/>
      </w:pPr>
      <w:r>
        <w:rPr>
          <w:rFonts w:ascii="Courier New" w:hAnsi="Courier New" w:cs="Courier New"/>
          <w:sz w:val="20"/>
        </w:rPr>
        <w:t xml:space="preserve">Created:           2026-04-05</w:t>
      </w:r>
    </w:p>
    <w:p>
      <w:pPr>
        <w:spacing w:after="0"/>
      </w:pPr>
      <w:r>
        <w:rPr>
          <w:rFonts w:ascii="Courier New" w:hAnsi="Courier New" w:cs="Courier New"/>
          <w:sz w:val="20"/>
        </w:rPr>
        <w:t xml:space="preserve">Due date:          2026-10-03</w:t>
      </w:r>
    </w:p>
    <w:p>
      <w:pPr>
        <w:spacing w:after="0"/>
      </w:pPr>
      <w:r>
        <w:rPr>
          <w:rFonts w:ascii="Courier New" w:hAnsi="Courier New" w:cs="Courier New"/>
          <w:sz w:val="20"/>
        </w:rPr>
        <w:t xml:space="preserve">Completed:         no</w:t>
      </w:r>
    </w:p>
    <w:p>
      <w:pPr>
        <w:spacing w:after="0"/>
      </w:pPr>
      <w:r>
        <w:rPr>
          <w:rFonts w:ascii="Courier New" w:hAnsi="Courier New" w:cs="Courier New"/>
          <w:sz w:val="20"/>
        </w:rPr>
        <w:t xml:space="preserve">Asana permalink:   https://app.asana.com/1/1213645083721316/project/1213908611350810/task/1213959825119954</w:t>
      </w:r>
    </w:p>
    <w:p>
      <w:pPr>
        <w:spacing w:after="0"/>
      </w:pPr>
    </w:p>
    <w:p>
      <w:pPr>
        <w:spacing w:after="0"/>
      </w:pPr>
      <w:r>
        <w:rPr>
          <w:rFonts w:ascii="Courier New" w:hAnsi="Courier New" w:cs="Courier New"/>
          <w:sz w:val="20"/>
        </w:rPr>
        <w:t xml:space="preserve">Task notes on file (first 1 000 characters):</w:t>
      </w:r>
    </w:p>
    <w:p>
      <w:pPr>
        <w:spacing w:after="0"/>
      </w:pPr>
      <w:r>
        <w:rPr>
          <w:rFonts w:ascii="Courier New" w:hAnsi="Courier New" w:cs="Courier New"/>
          <w:sz w:val="20"/>
        </w:rPr>
        <w:t xml:space="preserve">ENTITY: MADISON LLC</w:t>
      </w:r>
    </w:p>
    <w:p>
      <w:pPr>
        <w:spacing w:after="0"/>
      </w:pPr>
      <w:r>
        <w:rPr>
          <w:rFonts w:ascii="Courier New" w:hAnsi="Courier New" w:cs="Courier New"/>
          <w:sz w:val="20"/>
        </w:rPr>
        <w:t xml:space="preserve">Section: RESPONSIBLE SOURCING (MD 68/2024)</w:t>
      </w:r>
    </w:p>
    <w:p>
      <w:pPr>
        <w:spacing w:after="0"/>
      </w:pPr>
    </w:p>
    <w:p>
      <w:pPr>
        <w:spacing w:after="0"/>
      </w:pPr>
      <w:r>
        <w:rPr>
          <w:rFonts w:ascii="Courier New" w:hAnsi="Courier New" w:cs="Courier New"/>
          <w:sz w:val="20"/>
        </w:rPr>
        <w:t xml:space="preserve">No risk assessment, suppliers not mapped by origin, CAHRA not assessed, no supply chain screening, no supplier classification, no conflict minerals risk, no update after material changes.</w:t>
      </w:r>
    </w:p>
    <w:p>
      <w:pPr>
        <w:spacing w:after="0"/>
      </w:pPr>
    </w:p>
    <w:p>
      <w:pPr>
        <w:spacing w:after="0"/>
      </w:pPr>
      <w:r>
        <w:rPr>
          <w:rFonts w:ascii="Courier New" w:hAnsi="Courier New" w:cs="Courier New"/>
          <w:sz w:val="20"/>
        </w:rPr>
        <w:t xml:space="preserve">Regulatory Basis: Ministerial Decree 68/2024 Step 2; LBMA RGG v9 Step 2; OECD DDG Step 2; UAE FDL No.(10) of 2025 Art. 16, 20</w:t>
      </w:r>
    </w:p>
    <w:p>
      <w:pPr>
        <w:spacing w:after="0"/>
      </w:pPr>
      <w:r>
        <w:rPr>
          <w:rFonts w:ascii="Courier New" w:hAnsi="Courier New" w:cs="Courier New"/>
          <w:sz w:val="20"/>
        </w:rPr>
        <w:t xml:space="preserve">Priority: Critical</w:t>
      </w:r>
    </w:p>
    <w:p>
      <w:pPr>
        <w:spacing w:after="0"/>
      </w:pPr>
    </w:p>
    <w:p>
      <w:pPr>
        <w:spacing w:after="0"/>
      </w:pPr>
      <w:r>
        <w:rPr>
          <w:rFonts w:ascii="Courier New" w:hAnsi="Courier New" w:cs="Courier New"/>
          <w:sz w:val="20"/>
        </w:rPr>
        <w:t xml:space="preserve">Source:</w:t>
      </w:r>
    </w:p>
    <w:p>
      <w:pPr>
        <w:spacing w:after="0"/>
      </w:pPr>
      <w:r>
        <w:rPr>
          <w:rFonts w:ascii="Courier New" w:hAnsi="Courier New" w:cs="Courier New"/>
          <w:sz w:val="20"/>
        </w:rPr>
        <w:t xml:space="preserve">RS-RF02 | Step 2 Failure: Risk Identification Gaps - ENTITY: MADISON LLC No risk assessment, suppliers not mapped by origin, CAHRA not assessed, no supply chain screening, no supplier classification, no conflict minerals risk, no update after material changes. Regulatory Basis: Ministerial Decree 68/2024 Step 2; LBMA RGG v9 Step 2; OECD DDG Step 2; UAE FDL No.(10) of 2025 Art. 16, 20 Priority: Critical</w:t>
      </w:r>
    </w:p>
    <w:p>
      <w:pPr>
        <w:spacing w:after="0"/>
      </w:pPr>
    </w:p>
    <w:p>
      <w:pPr>
        <w:spacing w:after="0"/>
      </w:pPr>
      <w:r>
        <w:rPr>
          <w:rFonts w:ascii="Courier New" w:hAnsi="Courier New" w:cs="Courier New"/>
          <w:sz w:val="20"/>
        </w:rPr>
        <w:t xml:space="preserve">Source file:</w:t>
      </w:r>
    </w:p>
    <w:p>
      <w:pPr>
        <w:spacing w:after="0"/>
      </w:pPr>
      <w:r>
        <w:rPr>
          <w:rFonts w:ascii="Courier New" w:hAnsi="Courier New" w:cs="Courier New"/>
          <w:sz w:val="20"/>
        </w:rPr>
        <w:t xml:space="preserve">MADISON_LLC_BATCH_4_of_4.csv</w:t>
      </w:r>
    </w:p>
    <w:p>
      <w:pPr>
        <w:spacing w:after="0"/>
      </w:pPr>
    </w:p>
    <w:p>
      <w:pPr>
        <w:spacing w:after="0"/>
      </w:pPr>
      <w:r>
        <w:rPr>
          <w:rFonts w:ascii="Courier New" w:hAnsi="Courier New" w:cs="Courier New"/>
          <w:sz w:val="20"/>
        </w:rPr>
        <w:t xml:space="preserve">SECTION 2. AUTOMATION PRE-SCREEN</w:t>
      </w:r>
    </w:p>
    <w:p>
      <w:pPr>
        <w:spacing w:after="0"/>
      </w:pPr>
    </w:p>
    <w:p>
      <w:pPr>
        <w:spacing w:after="0"/>
      </w:pPr>
      <w:r>
        <w:rPr>
          <w:rFonts w:ascii="Courier New" w:hAnsi="Courier New" w:cs="Courier New"/>
          <w:sz w:val="20"/>
        </w:rPr>
        <w:t xml:space="preserve">The automation pre-scan did not match any typology keyword in the task name or notes.</w:t>
      </w:r>
    </w:p>
    <w:p>
      <w:pPr>
        <w:spacing w:after="0"/>
      </w:pPr>
    </w:p>
    <w:p>
      <w:pPr>
        <w:spacing w:after="0"/>
      </w:pPr>
      <w:r>
        <w:rPr>
          <w:rFonts w:ascii="Courier New" w:hAnsi="Courier New" w:cs="Courier New"/>
          <w:sz w:val="20"/>
        </w:rPr>
        <w:t xml:space="preserve">The pre-scan is advisory only. The compliance function remains responsible for</w:t>
      </w:r>
    </w:p>
    <w:p>
      <w:pPr>
        <w:spacing w:after="0"/>
      </w:pPr>
      <w:r>
        <w:rPr>
          <w:rFonts w:ascii="Courier New" w:hAnsi="Courier New" w:cs="Courier New"/>
          <w:sz w:val="20"/>
        </w:rPr>
        <w:t xml:space="preserve">the final typology assessment and for any filing decision.</w:t>
      </w:r>
    </w:p>
    <w:p>
      <w:pPr>
        <w:spacing w:after="0"/>
      </w:pPr>
    </w:p>
    <w:p>
      <w:pPr>
        <w:spacing w:after="0"/>
      </w:pPr>
      <w:r>
        <w:rPr>
          <w:rFonts w:ascii="Courier New" w:hAnsi="Courier New" w:cs="Courier New"/>
          <w:sz w:val="20"/>
        </w:rPr>
        <w:t xml:space="preserve">SECTION 3. CUSTOMER IDENTIFICATION AND DUE DILIGENCE</w:t>
      </w:r>
    </w:p>
    <w:p>
      <w:pPr>
        <w:spacing w:after="0"/>
      </w:pPr>
    </w:p>
    <w:p>
      <w:pPr>
        <w:spacing w:after="0"/>
      </w:pPr>
      <w:r>
        <w:rPr>
          <w:rFonts w:ascii="Courier New" w:hAnsi="Courier New" w:cs="Courier New"/>
          <w:sz w:val="20"/>
        </w:rPr>
        <w:t xml:space="preserve">Full legal name of customer or counterparty:  [                                              ]</w:t>
      </w:r>
    </w:p>
    <w:p>
      <w:pPr>
        <w:spacing w:after="0"/>
      </w:pPr>
      <w:r>
        <w:rPr>
          <w:rFonts w:ascii="Courier New" w:hAnsi="Courier New" w:cs="Courier New"/>
          <w:sz w:val="20"/>
        </w:rPr>
        <w:t xml:space="preserve">Trading name, if different:                   [                                              ]</w:t>
      </w:r>
    </w:p>
    <w:p>
      <w:pPr>
        <w:spacing w:after="0"/>
      </w:pPr>
      <w:r>
        <w:rPr>
          <w:rFonts w:ascii="Courier New" w:hAnsi="Courier New" w:cs="Courier New"/>
          <w:sz w:val="20"/>
        </w:rPr>
        <w:t xml:space="preserve">Customer type:                                [ natural person ] [ legal person ] [ arrangement ]</w:t>
      </w:r>
    </w:p>
    <w:p>
      <w:pPr>
        <w:spacing w:after="0"/>
      </w:pPr>
      <w:r>
        <w:rPr>
          <w:rFonts w:ascii="Courier New" w:hAnsi="Courier New" w:cs="Courier New"/>
          <w:sz w:val="20"/>
        </w:rPr>
        <w:t xml:space="preserve">Nationality or place of incorporation:        [                                              ]</w:t>
      </w:r>
    </w:p>
    <w:p>
      <w:pPr>
        <w:spacing w:after="0"/>
      </w:pPr>
      <w:r>
        <w:rPr>
          <w:rFonts w:ascii="Courier New" w:hAnsi="Courier New" w:cs="Courier New"/>
          <w:sz w:val="20"/>
        </w:rPr>
        <w:t xml:space="preserve">Date of birth or incorporation date:          [                                              ]</w:t>
      </w:r>
    </w:p>
    <w:p>
      <w:pPr>
        <w:spacing w:after="0"/>
      </w:pPr>
      <w:r>
        <w:rPr>
          <w:rFonts w:ascii="Courier New" w:hAnsi="Courier New" w:cs="Courier New"/>
          <w:sz w:val="20"/>
        </w:rPr>
        <w:t xml:space="preserve">Identification document type:                 [ passport ] [ Emirates ID ] [ trade licence ] [ other ]</w:t>
      </w:r>
    </w:p>
    <w:p>
      <w:pPr>
        <w:spacing w:after="0"/>
      </w:pPr>
      <w:r>
        <w:rPr>
          <w:rFonts w:ascii="Courier New" w:hAnsi="Courier New" w:cs="Courier New"/>
          <w:sz w:val="20"/>
        </w:rPr>
        <w:t xml:space="preserve">Document number:                              [                                              ]</w:t>
      </w:r>
    </w:p>
    <w:p>
      <w:pPr>
        <w:spacing w:after="0"/>
      </w:pPr>
      <w:r>
        <w:rPr>
          <w:rFonts w:ascii="Courier New" w:hAnsi="Courier New" w:cs="Courier New"/>
          <w:sz w:val="20"/>
        </w:rPr>
        <w:t xml:space="preserve">Document issue date:                          [                                              ]</w:t>
      </w:r>
    </w:p>
    <w:p>
      <w:pPr>
        <w:spacing w:after="0"/>
      </w:pPr>
      <w:r>
        <w:rPr>
          <w:rFonts w:ascii="Courier New" w:hAnsi="Courier New" w:cs="Courier New"/>
          <w:sz w:val="20"/>
        </w:rPr>
        <w:t xml:space="preserve">Document expiry date:                         [                                              ]</w:t>
      </w:r>
    </w:p>
    <w:p>
      <w:pPr>
        <w:spacing w:after="0"/>
      </w:pPr>
      <w:r>
        <w:rPr>
          <w:rFonts w:ascii="Courier New" w:hAnsi="Courier New" w:cs="Courier New"/>
          <w:sz w:val="20"/>
        </w:rPr>
        <w:t xml:space="preserve">Address of record:                            [                                              ]</w:t>
      </w:r>
    </w:p>
    <w:p>
      <w:pPr>
        <w:spacing w:after="0"/>
      </w:pPr>
      <w:r>
        <w:rPr>
          <w:rFonts w:ascii="Courier New" w:hAnsi="Courier New" w:cs="Courier New"/>
          <w:sz w:val="20"/>
        </w:rPr>
        <w:t xml:space="preserve">Beneficial owner(s) identified:               [ yes ] [ no ]</w:t>
      </w:r>
    </w:p>
    <w:p>
      <w:pPr>
        <w:spacing w:after="0"/>
      </w:pPr>
      <w:r>
        <w:rPr>
          <w:rFonts w:ascii="Courier New" w:hAnsi="Courier New" w:cs="Courier New"/>
          <w:sz w:val="20"/>
        </w:rPr>
        <w:t xml:space="preserve">Source of funds stated by the customer:       [                                              ]</w:t>
      </w:r>
    </w:p>
    <w:p>
      <w:pPr>
        <w:spacing w:after="0"/>
      </w:pPr>
      <w:r>
        <w:rPr>
          <w:rFonts w:ascii="Courier New" w:hAnsi="Courier New" w:cs="Courier New"/>
          <w:sz w:val="20"/>
        </w:rPr>
        <w:t xml:space="preserve">Source of wealth stated by the customer:      [                                              ]</w:t>
      </w:r>
    </w:p>
    <w:p>
      <w:pPr>
        <w:spacing w:after="0"/>
      </w:pPr>
      <w:r>
        <w:rPr>
          <w:rFonts w:ascii="Courier New" w:hAnsi="Courier New" w:cs="Courier New"/>
          <w:sz w:val="20"/>
        </w:rPr>
        <w:t xml:space="preserve">CDD depth applied:                            [ simplified ] [ standard ] [ enhanced ]</w:t>
      </w:r>
    </w:p>
    <w:p>
      <w:pPr>
        <w:spacing w:after="0"/>
      </w:pPr>
      <w:r>
        <w:rPr>
          <w:rFonts w:ascii="Courier New" w:hAnsi="Courier New" w:cs="Courier New"/>
          <w:sz w:val="20"/>
        </w:rPr>
        <w:t xml:space="preserve">PEP status:                                   [ yes ] [ no ]   if yes, attach the PEP screen</w:t>
      </w:r>
    </w:p>
    <w:p>
      <w:pPr>
        <w:spacing w:after="0"/>
      </w:pPr>
      <w:r>
        <w:rPr>
          <w:rFonts w:ascii="Courier New" w:hAnsi="Courier New" w:cs="Courier New"/>
          <w:sz w:val="20"/>
        </w:rPr>
        <w:t xml:space="preserve">Adverse media reviewed:                       [ yes ] [ no ]</w:t>
      </w:r>
    </w:p>
    <w:p>
      <w:pPr>
        <w:spacing w:after="0"/>
      </w:pPr>
      <w:r>
        <w:rPr>
          <w:rFonts w:ascii="Courier New" w:hAnsi="Courier New" w:cs="Courier New"/>
          <w:sz w:val="20"/>
        </w:rPr>
        <w:t xml:space="preserve">Customer risk rating assigned:                [ low ] [ medium ] [ high ]</w:t>
      </w:r>
    </w:p>
    <w:p>
      <w:pPr>
        <w:spacing w:after="0"/>
      </w:pPr>
      <w:r>
        <w:rPr>
          <w:rFonts w:ascii="Courier New" w:hAnsi="Courier New" w:cs="Courier New"/>
          <w:sz w:val="20"/>
        </w:rPr>
        <w:t xml:space="preserve">Date of latest CDD review:                    [                                              ]</w:t>
      </w:r>
    </w:p>
    <w:p>
      <w:pPr>
        <w:spacing w:after="0"/>
      </w:pPr>
    </w:p>
    <w:p>
      <w:pPr>
        <w:spacing w:after="0"/>
      </w:pPr>
      <w:r>
        <w:rPr>
          <w:rFonts w:ascii="Courier New" w:hAnsi="Courier New" w:cs="Courier New"/>
          <w:sz w:val="20"/>
        </w:rPr>
        <w:t xml:space="preserve">SECTION 4. TRANSACTION DETAILS (if the task concerns a specific transaction)</w:t>
      </w:r>
    </w:p>
    <w:p>
      <w:pPr>
        <w:spacing w:after="0"/>
      </w:pPr>
    </w:p>
    <w:p>
      <w:pPr>
        <w:spacing w:after="0"/>
      </w:pPr>
      <w:r>
        <w:rPr>
          <w:rFonts w:ascii="Courier New" w:hAnsi="Courier New" w:cs="Courier New"/>
          <w:sz w:val="20"/>
        </w:rPr>
        <w:t xml:space="preserve">Transaction date:                 [                                              ]</w:t>
      </w:r>
    </w:p>
    <w:p>
      <w:pPr>
        <w:spacing w:after="0"/>
      </w:pPr>
      <w:r>
        <w:rPr>
          <w:rFonts w:ascii="Courier New" w:hAnsi="Courier New" w:cs="Courier New"/>
          <w:sz w:val="20"/>
        </w:rPr>
        <w:t xml:space="preserve">Transaction type:                 [ cash purchase ] [ cash sale ] [ trade-in ] [ refining ] [ other ]</w:t>
      </w:r>
    </w:p>
    <w:p>
      <w:pPr>
        <w:spacing w:after="0"/>
      </w:pPr>
      <w:r>
        <w:rPr>
          <w:rFonts w:ascii="Courier New" w:hAnsi="Courier New" w:cs="Courier New"/>
          <w:sz w:val="20"/>
        </w:rPr>
        <w:t xml:space="preserve">Item description:                 [                                              ]</w:t>
      </w:r>
    </w:p>
    <w:p>
      <w:pPr>
        <w:spacing w:after="0"/>
      </w:pPr>
      <w:r>
        <w:rPr>
          <w:rFonts w:ascii="Courier New" w:hAnsi="Courier New" w:cs="Courier New"/>
          <w:sz w:val="20"/>
        </w:rPr>
        <w:t xml:space="preserve">Assay or certification reference: [                                              ]</w:t>
      </w:r>
    </w:p>
    <w:p>
      <w:pPr>
        <w:spacing w:after="0"/>
      </w:pPr>
      <w:r>
        <w:rPr>
          <w:rFonts w:ascii="Courier New" w:hAnsi="Courier New" w:cs="Courier New"/>
          <w:sz w:val="20"/>
        </w:rPr>
        <w:t xml:space="preserve">Total consideration (AED):        [                                              ]</w:t>
      </w:r>
    </w:p>
    <w:p>
      <w:pPr>
        <w:spacing w:after="0"/>
      </w:pPr>
      <w:r>
        <w:rPr>
          <w:rFonts w:ascii="Courier New" w:hAnsi="Courier New" w:cs="Courier New"/>
          <w:sz w:val="20"/>
        </w:rPr>
        <w:t xml:space="preserve">Cash component (AED):             [                                              ]</w:t>
      </w:r>
    </w:p>
    <w:p>
      <w:pPr>
        <w:spacing w:after="0"/>
      </w:pPr>
      <w:r>
        <w:rPr>
          <w:rFonts w:ascii="Courier New" w:hAnsi="Courier New" w:cs="Courier New"/>
          <w:sz w:val="20"/>
        </w:rPr>
        <w:t xml:space="preserve">Non-cash component and method:    [                                              ]</w:t>
      </w:r>
    </w:p>
    <w:p>
      <w:pPr>
        <w:spacing w:after="0"/>
      </w:pPr>
      <w:r>
        <w:rPr>
          <w:rFonts w:ascii="Courier New" w:hAnsi="Courier New" w:cs="Courier New"/>
          <w:sz w:val="20"/>
        </w:rPr>
        <w:t xml:space="preserve">Counterparty role in transaction: [ buyer ] [ seller ] [ agent ] [ introducer ]</w:t>
      </w:r>
    </w:p>
    <w:p>
      <w:pPr>
        <w:spacing w:after="0"/>
      </w:pPr>
      <w:r>
        <w:rPr>
          <w:rFonts w:ascii="Courier New" w:hAnsi="Courier New" w:cs="Courier New"/>
          <w:sz w:val="20"/>
        </w:rPr>
        <w:t xml:space="preserve">Aggregation applied:              [ yes ] [ no ]</w:t>
      </w:r>
    </w:p>
    <w:p>
      <w:pPr>
        <w:spacing w:after="0"/>
      </w:pPr>
      <w:r>
        <w:rPr>
          <w:rFonts w:ascii="Courier New" w:hAnsi="Courier New" w:cs="Courier New"/>
          <w:sz w:val="20"/>
        </w:rPr>
        <w:t xml:space="preserve">Rolling thirty-day aggregated AED:[                                              ]</w:t>
      </w:r>
    </w:p>
    <w:p>
      <w:pPr>
        <w:spacing w:after="0"/>
      </w:pPr>
      <w:r>
        <w:rPr>
          <w:rFonts w:ascii="Courier New" w:hAnsi="Courier New" w:cs="Courier New"/>
          <w:sz w:val="20"/>
        </w:rPr>
        <w:t xml:space="preserve">DPMSR threshold assessment:       [ below ] [ at or above ] the cash transaction threshold</w:t>
      </w:r>
    </w:p>
    <w:p>
      <w:pPr>
        <w:spacing w:after="0"/>
      </w:pPr>
      <w:r>
        <w:rPr>
          <w:rFonts w:ascii="Courier New" w:hAnsi="Courier New" w:cs="Courier New"/>
          <w:sz w:val="20"/>
        </w:rPr>
        <w:t xml:space="preserve">                                  specified by the DPMSR framework</w:t>
      </w:r>
    </w:p>
    <w:p>
      <w:pPr>
        <w:spacing w:after="0"/>
      </w:pPr>
    </w:p>
    <w:p>
      <w:pPr>
        <w:spacing w:after="0"/>
      </w:pPr>
      <w:r>
        <w:rPr>
          <w:rFonts w:ascii="Courier New" w:hAnsi="Courier New" w:cs="Courier New"/>
          <w:sz w:val="20"/>
        </w:rPr>
        <w:t xml:space="preserve">SECTION 5. RED-FLAG ASSESSMENT</w:t>
      </w:r>
    </w:p>
    <w:p>
      <w:pPr>
        <w:spacing w:after="0"/>
      </w:pPr>
    </w:p>
    <w:p>
      <w:pPr>
        <w:spacing w:after="0"/>
      </w:pPr>
      <w:r>
        <w:rPr>
          <w:rFonts w:ascii="Courier New" w:hAnsi="Courier New" w:cs="Courier New"/>
          <w:sz w:val="20"/>
        </w:rPr>
        <w:t xml:space="preserve">Red flag identified:              [ yes ] [ no ]</w:t>
      </w:r>
    </w:p>
    <w:p>
      <w:pPr>
        <w:spacing w:after="0"/>
      </w:pPr>
      <w:r>
        <w:rPr>
          <w:rFonts w:ascii="Courier New" w:hAnsi="Courier New" w:cs="Courier New"/>
          <w:sz w:val="20"/>
        </w:rPr>
        <w:t xml:space="preserve">Typology cited:                   [                                              ]</w:t>
      </w:r>
    </w:p>
    <w:p>
      <w:pPr>
        <w:spacing w:after="0"/>
      </w:pPr>
    </w:p>
    <w:p>
      <w:pPr>
        <w:spacing w:after="0"/>
      </w:pPr>
      <w:r>
        <w:rPr>
          <w:rFonts w:ascii="Courier New" w:hAnsi="Courier New" w:cs="Courier New"/>
          <w:sz w:val="20"/>
        </w:rPr>
        <w:t xml:space="preserve">Narrative of concern (short paragraphs, facts only):</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SECTION 6. SANCTIONS AND PEP SCREENING RECORD</w:t>
      </w:r>
    </w:p>
    <w:p>
      <w:pPr>
        <w:spacing w:after="0"/>
      </w:pPr>
    </w:p>
    <w:p>
      <w:pPr>
        <w:spacing w:after="0"/>
      </w:pPr>
      <w:r>
        <w:rPr>
          <w:rFonts w:ascii="Courier New" w:hAnsi="Courier New" w:cs="Courier New"/>
          <w:sz w:val="20"/>
        </w:rPr>
        <w:t xml:space="preserve">UNSC Consolidated List screen:            [ clear ] [ potential match ] [ confirmed match ]</w:t>
      </w:r>
    </w:p>
    <w:p>
      <w:pPr>
        <w:spacing w:after="0"/>
      </w:pPr>
      <w:r>
        <w:rPr>
          <w:rFonts w:ascii="Courier New" w:hAnsi="Courier New" w:cs="Courier New"/>
          <w:sz w:val="20"/>
        </w:rPr>
        <w:t xml:space="preserve">UAE Local Terrorist List screen (EOCN):   [ clear ] [ potential match ] [ confirmed match ]</w:t>
      </w:r>
    </w:p>
    <w:p>
      <w:pPr>
        <w:spacing w:after="0"/>
      </w:pPr>
      <w:r>
        <w:rPr>
          <w:rFonts w:ascii="Courier New" w:hAnsi="Courier New" w:cs="Courier New"/>
          <w:sz w:val="20"/>
        </w:rPr>
        <w:t xml:space="preserve">PEP source list screen:                   [ clear ] [ potential match ] [ confirmed match ]</w:t>
      </w:r>
    </w:p>
    <w:p>
      <w:pPr>
        <w:spacing w:after="0"/>
      </w:pPr>
      <w:r>
        <w:rPr>
          <w:rFonts w:ascii="Courier New" w:hAnsi="Courier New" w:cs="Courier New"/>
          <w:sz w:val="20"/>
        </w:rPr>
        <w:t xml:space="preserve">Adverse media screen:                     [ clear ] [ adverse hit ]</w:t>
      </w:r>
    </w:p>
    <w:p>
      <w:pPr>
        <w:spacing w:after="0"/>
      </w:pPr>
      <w:r>
        <w:rPr>
          <w:rFonts w:ascii="Courier New" w:hAnsi="Courier New" w:cs="Courier New"/>
          <w:sz w:val="20"/>
        </w:rPr>
        <w:t xml:space="preserve">Screen date:                              [                                              ]</w:t>
      </w:r>
    </w:p>
    <w:p>
      <w:pPr>
        <w:spacing w:after="0"/>
      </w:pPr>
      <w:r>
        <w:rPr>
          <w:rFonts w:ascii="Courier New" w:hAnsi="Courier New" w:cs="Courier New"/>
          <w:sz w:val="20"/>
        </w:rPr>
        <w:t xml:space="preserve">Screen performed by:                      [                                              ]</w:t>
      </w:r>
    </w:p>
    <w:p>
      <w:pPr>
        <w:spacing w:after="0"/>
      </w:pPr>
      <w:r>
        <w:rPr>
          <w:rFonts w:ascii="Courier New" w:hAnsi="Courier New" w:cs="Courier New"/>
          <w:sz w:val="20"/>
        </w:rPr>
        <w:t xml:space="preserve">Evidence reference in the archive:        [                                              ]</w:t>
      </w:r>
    </w:p>
    <w:p>
      <w:pPr>
        <w:spacing w:after="0"/>
      </w:pPr>
    </w:p>
    <w:p>
      <w:pPr>
        <w:spacing w:after="0"/>
      </w:pPr>
      <w:r>
        <w:rPr>
          <w:rFonts w:ascii="Courier New" w:hAnsi="Courier New" w:cs="Courier New"/>
          <w:sz w:val="20"/>
        </w:rPr>
        <w:t xml:space="preserve">SECTION 7. FILING DECISION MATRIX</w:t>
      </w:r>
    </w:p>
    <w:p>
      <w:pPr>
        <w:spacing w:after="0"/>
      </w:pPr>
    </w:p>
    <w:p>
      <w:pPr>
        <w:spacing w:after="0"/>
      </w:pPr>
      <w:r>
        <w:rPr>
          <w:rFonts w:ascii="Courier New" w:hAnsi="Courier New" w:cs="Courier New"/>
          <w:sz w:val="20"/>
        </w:rPr>
        <w:t xml:space="preserve">Does this matter require a filing to the Financial Intelligence Unit through the</w:t>
      </w:r>
    </w:p>
    <w:p>
      <w:pPr>
        <w:spacing w:after="0"/>
      </w:pPr>
      <w:r>
        <w:rPr>
          <w:rFonts w:ascii="Courier New" w:hAnsi="Courier New" w:cs="Courier New"/>
          <w:sz w:val="20"/>
        </w:rPr>
        <w:t xml:space="preserve">goAML platform?</w:t>
      </w:r>
    </w:p>
    <w:p>
      <w:pPr>
        <w:spacing w:after="0"/>
      </w:pPr>
    </w:p>
    <w:p>
      <w:pPr>
        <w:spacing w:after="0"/>
      </w:pPr>
      <w:r>
        <w:rPr>
          <w:rFonts w:ascii="Courier New" w:hAnsi="Courier New" w:cs="Courier New"/>
          <w:sz w:val="20"/>
        </w:rPr>
        <w:t xml:space="preserve">[ ] Suspicious Transaction Report (STR)</w:t>
      </w:r>
    </w:p>
    <w:p>
      <w:pPr>
        <w:spacing w:after="0"/>
      </w:pPr>
      <w:r>
        <w:rPr>
          <w:rFonts w:ascii="Courier New" w:hAnsi="Courier New" w:cs="Courier New"/>
          <w:sz w:val="20"/>
        </w:rPr>
        <w:t xml:space="preserve">[ ] Suspicious Activity Report (SAR)</w:t>
      </w:r>
    </w:p>
    <w:p>
      <w:pPr>
        <w:spacing w:after="0"/>
      </w:pPr>
      <w:r>
        <w:rPr>
          <w:rFonts w:ascii="Courier New" w:hAnsi="Courier New" w:cs="Courier New"/>
          <w:sz w:val="20"/>
        </w:rPr>
        <w:t xml:space="preserve">[ ] Dealers in Precious Metals and Stones Report (DPMSR)</w:t>
      </w:r>
    </w:p>
    <w:p>
      <w:pPr>
        <w:spacing w:after="0"/>
      </w:pPr>
      <w:r>
        <w:rPr>
          <w:rFonts w:ascii="Courier New" w:hAnsi="Courier New" w:cs="Courier New"/>
          <w:sz w:val="20"/>
        </w:rPr>
        <w:t xml:space="preserve">[ ] Partial Name Match Report (PNMR)</w:t>
      </w:r>
    </w:p>
    <w:p>
      <w:pPr>
        <w:spacing w:after="0"/>
      </w:pPr>
      <w:r>
        <w:rPr>
          <w:rFonts w:ascii="Courier New" w:hAnsi="Courier New" w:cs="Courier New"/>
          <w:sz w:val="20"/>
        </w:rPr>
        <w:t xml:space="preserve">[ ] Funds Freeze Report (FFR)</w:t>
      </w:r>
    </w:p>
    <w:p>
      <w:pPr>
        <w:spacing w:after="0"/>
      </w:pPr>
      <w:r>
        <w:rPr>
          <w:rFonts w:ascii="Courier New" w:hAnsi="Courier New" w:cs="Courier New"/>
          <w:sz w:val="20"/>
        </w:rPr>
        <w:t xml:space="preserve">[ ] No filing required at this stage</w:t>
      </w:r>
    </w:p>
    <w:p>
      <w:pPr>
        <w:spacing w:after="0"/>
      </w:pPr>
    </w:p>
    <w:p>
      <w:pPr>
        <w:spacing w:after="0"/>
      </w:pPr>
      <w:r>
        <w:rPr>
          <w:rFonts w:ascii="Courier New" w:hAnsi="Courier New" w:cs="Courier New"/>
          <w:sz w:val="20"/>
        </w:rPr>
        <w:t xml:space="preserve">Filing reference assigned internally:  [                                              ]</w:t>
      </w:r>
    </w:p>
    <w:p>
      <w:pPr>
        <w:spacing w:after="0"/>
      </w:pPr>
      <w:r>
        <w:rPr>
          <w:rFonts w:ascii="Courier New" w:hAnsi="Courier New" w:cs="Courier New"/>
          <w:sz w:val="20"/>
        </w:rPr>
        <w:t xml:space="preserve">Internal filing deadline:              [                                              ]</w:t>
      </w:r>
    </w:p>
    <w:p>
      <w:pPr>
        <w:spacing w:after="0"/>
      </w:pPr>
      <w:r>
        <w:rPr>
          <w:rFonts w:ascii="Courier New" w:hAnsi="Courier New" w:cs="Courier New"/>
          <w:sz w:val="20"/>
        </w:rPr>
        <w:t xml:space="preserve">goAML submission date, if filed:       [                                              ]</w:t>
      </w:r>
    </w:p>
    <w:p>
      <w:pPr>
        <w:spacing w:after="0"/>
      </w:pPr>
      <w:r>
        <w:rPr>
          <w:rFonts w:ascii="Courier New" w:hAnsi="Courier New" w:cs="Courier New"/>
          <w:sz w:val="20"/>
        </w:rPr>
        <w:t xml:space="preserve">goAML receipt reference, if filed:     [                                              ]</w:t>
      </w:r>
    </w:p>
    <w:p>
      <w:pPr>
        <w:spacing w:after="0"/>
      </w:pPr>
    </w:p>
    <w:p>
      <w:pPr>
        <w:spacing w:after="0"/>
      </w:pPr>
      <w:r>
        <w:rPr>
          <w:rFonts w:ascii="Courier New" w:hAnsi="Courier New" w:cs="Courier New"/>
          <w:sz w:val="20"/>
        </w:rPr>
        <w:t xml:space="preserve">SECTION 8. MLRO DECISION AND SIGN-OFF</w:t>
      </w:r>
    </w:p>
    <w:p>
      <w:pPr>
        <w:spacing w:after="0"/>
      </w:pPr>
    </w:p>
    <w:p>
      <w:pPr>
        <w:spacing w:after="0"/>
      </w:pPr>
      <w:r>
        <w:rPr>
          <w:rFonts w:ascii="Courier New" w:hAnsi="Courier New" w:cs="Courier New"/>
          <w:sz w:val="20"/>
        </w:rPr>
        <w:t xml:space="preserve">MLRO decision:          [ file ] [ do not file ] [ further review requested ]</w:t>
      </w:r>
    </w:p>
    <w:p>
      <w:pPr>
        <w:spacing w:after="0"/>
      </w:pPr>
      <w:r>
        <w:rPr>
          <w:rFonts w:ascii="Courier New" w:hAnsi="Courier New" w:cs="Courier New"/>
          <w:sz w:val="20"/>
        </w:rPr>
        <w:t xml:space="preserve">Date of decision:       [                                              ]</w:t>
      </w:r>
    </w:p>
    <w:p>
      <w:pPr>
        <w:spacing w:after="0"/>
      </w:pPr>
    </w:p>
    <w:p>
      <w:pPr>
        <w:spacing w:after="0"/>
      </w:pPr>
      <w:r>
        <w:rPr>
          <w:rFonts w:ascii="Courier New" w:hAnsi="Courier New" w:cs="Courier New"/>
          <w:sz w:val="20"/>
        </w:rPr>
        <w:t xml:space="preserve">Reasoning (one short paragraph, factual):</w:t>
      </w:r>
    </w:p>
    <w:p>
      <w:pPr>
        <w:spacing w:after="0"/>
      </w:pP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                                                                                    ]</w:t>
      </w:r>
    </w:p>
    <w:p>
      <w:pPr>
        <w:spacing w:after="0"/>
      </w:pPr>
    </w:p>
    <w:p>
      <w:pPr>
        <w:spacing w:after="0"/>
      </w:pPr>
      <w:r>
        <w:rPr>
          <w:rFonts w:ascii="Courier New" w:hAnsi="Courier New" w:cs="Courier New"/>
          <w:sz w:val="20"/>
        </w:rPr>
        <w:t xml:space="preserve">Decided by:   LF, Money Laundering Reporting Officer</w:t>
      </w:r>
    </w:p>
    <w:p>
      <w:pPr>
        <w:spacing w:after="0"/>
      </w:pPr>
      <w:r>
        <w:rPr>
          <w:rFonts w:ascii="Courier New" w:hAnsi="Courier New" w:cs="Courier New"/>
          <w:sz w:val="20"/>
        </w:rPr>
        <w:t xml:space="preserve">Signature:    __________________________</w:t>
      </w:r>
    </w:p>
    <w:p>
      <w:pPr>
        <w:spacing w:after="0"/>
      </w:pPr>
      <w:r>
        <w:rPr>
          <w:rFonts w:ascii="Courier New" w:hAnsi="Courier New" w:cs="Courier New"/>
          <w:sz w:val="20"/>
        </w:rPr>
        <w:t xml:space="preserve">Date:         __________________________</w:t>
      </w:r>
    </w:p>
    <w:p>
      <w:pPr>
        <w:spacing w:after="0"/>
      </w:pPr>
    </w:p>
    <w:p>
      <w:pPr>
        <w:spacing w:after="0"/>
      </w:pPr>
      <w:r>
        <w:rPr>
          <w:rFonts w:ascii="Courier New" w:hAnsi="Courier New" w:cs="Courier New"/>
          <w:sz w:val="20"/>
        </w:rPr>
        <w:t xml:space="preserve">SECTION 9. RETENTION AND CONFIDENTIALITY NOTE</w:t>
      </w:r>
    </w:p>
    <w:p>
      <w:pPr>
        <w:spacing w:after="0"/>
      </w:pPr>
    </w:p>
    <w:p>
      <w:pPr>
        <w:spacing w:after="0"/>
      </w:pPr>
      <w:r>
        <w:rPr>
          <w:rFonts w:ascii="Courier New" w:hAnsi="Courier New" w:cs="Courier New"/>
          <w:sz w:val="20"/>
        </w:rPr>
        <w:t xml:space="preserve">This pack and every supporting document are retained for a minimum of 10 years</w:t>
      </w:r>
    </w:p>
    <w:p>
      <w:pPr>
        <w:spacing w:after="0"/>
      </w:pPr>
      <w:r>
        <w:rPr>
          <w:rFonts w:ascii="Courier New" w:hAnsi="Courier New" w:cs="Courier New"/>
          <w:sz w:val="20"/>
        </w:rPr>
        <w:t xml:space="preserve">in accordance with the applicable provision of Federal Decree-Law No. 10 of 2025. Access is restricted</w:t>
      </w:r>
    </w:p>
    <w:p>
      <w:pPr>
        <w:spacing w:after="0"/>
      </w:pPr>
      <w:r>
        <w:rPr>
          <w:rFonts w:ascii="Courier New" w:hAnsi="Courier New" w:cs="Courier New"/>
          <w:sz w:val="20"/>
        </w:rPr>
        <w:t xml:space="preserve">to the MLRO, the compliance function and any authorised representative of the</w:t>
      </w:r>
    </w:p>
    <w:p>
      <w:pPr>
        <w:spacing w:after="0"/>
      </w:pPr>
      <w:r>
        <w:rPr>
          <w:rFonts w:ascii="Courier New" w:hAnsi="Courier New" w:cs="Courier New"/>
          <w:sz w:val="20"/>
        </w:rPr>
        <w:t xml:space="preserve">Ministry of Economy or the Financial Intelligence Unit acting in an official capacity.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