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1213959825297462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HSV2-TPK-2026-04-06-UNASSIGNED-RS-RF02_Step_2_Failu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1213959825297462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RS-RF02 | Step 2 Failure: Risk Identification Gaps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1213959825297462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https://app.asana.com/1/1213645083721316/project/1213908827982041/task/1213959825297462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risk assessment, suppliers not mapped by origin, CAHRA not assessed, no supply chain screening, no supplier classification, no conflict minerals risk, no update after material changes.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 2; LBMA RGG v9 Step 2; OECD DDG Step 2; UAE FDL No.(10) of 2025 Art. 16,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LLCNo risk assessment, suppliers not mapped by origin, CAHRA not assessed, no supply chain screening, no supplier classification, no conflict minerals risk, no update after material changes.Regulatory Basis: Ministerial Decree 68/2024 Step 2; LBMA RGG v9 Step 2; OECD DDG Step 2; UAE FDL No.(10) of 2025 Art. 16, 20Priority: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