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RS-RF04 | Refinery: No Third-Party Audit (Steps 4-5) - ENTITY: MADISON LLC No auditor appointed, no MOE report submitted, unrecognized auditor, unremediated findings, no annual report. Context: 32 refineries suspended 2024, 256 AML violations, AED 146.35M fines (2021-2024). Regulatory Basis: Ministerial Decree 68/2024 Steps 4-5; LBMA RGG v9 Steps 4-5; MOE Inspection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