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HSV2-TPK-2026-04-06-UNASSIGNED-RS-RF04_Refinery_No_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1213959825297460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RS-RF04 | Refinery: No Third-Party Audit (Steps 4-5)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https://app.asana.com/1/1213645083721316/project/1213908827982041/task/1213959825297460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auditor appointed, no MOE report submitted, unrecognized auditor, unremediated findings, no annual report. Context: 32 refineries suspended 2024, 256 AML violations, AED 146.35M fines (2021-2024).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4-5; LBMA RGG v9 Steps 4-5; MOE Inspection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LLCNo auditor appointed, no MOE report submitted, unrecognized auditor, unremediated findings, no annual report. Context: 32 refineries suspended 2024, 256 AML violations, AED 146.35M fines (2021-2024).Regulatory Basis: Ministerial Decree 68/2024 Steps 4-5; LBMA RGG v9 Steps 4-5; MOE Inspection FrameworkPriority: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