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HSV2-TPK-2026-04-06-UNASSIGNED-RS-RF04_Refinery_No_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RS-RF04 | Refinery: No Third-Party Audit (Steps 4-5)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auditor appointed, no MOE report submitted, unrecognized auditor, unremediated findings, no annual report. Context: 32 refineries suspended 2024, 256 AML violations, AED 146.35M fines (2021-2024).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RGG v9 Steps 4-5; MOE Inspection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RS-RF04 | Refinery: No Third-Party Audit (Steps 4-5) - ENTITY: FG LLC No auditor appointed, no MOE report submitted, unrecognized auditor, unremediated findings, no annual report. Context: 32 refineries suspended 2024, 256 AML violations, AED 146.35M fines (2021-2024). Regulatory Basis: Ministerial Decree 68/2024 Steps 4-5; LBMA RGG v9 Steps 4-5; MOE Inspection Framework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