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1213964638768783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HSV2-TPK-2026-04-06-UNASSIGNED-RS-RF04_Refinery_No_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1213964638768783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RS-RF04 | Refinery: No Third-Party Audit (Steps 4-5)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1213964638768783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https://app.asana.com/1/1213645083721316/project/1213908508433868/task/1213964638768783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auditor appointed, no MOE report submitted, unrecognized auditor, unremediated findings, no annual report. Context: 32 refineries suspended 2024, 256 AML violations, AED 146.35M fines (2021-2024).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Steps 4-5; LBMA RGG v9 Steps 4-5; MOE Inspection Framework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BRANCHNo auditor appointed, no MOE report submitted, unrecognized auditor, unremediated findings, no annual report. Context: 32 refineries suspended 2024, 256 AML violations, AED 146.35M fines (2021-2024).Regulatory Basis: Ministerial Decree 68/2024 Steps 4-5; LBMA RGG v9 Steps 4-5; MOE Inspection FrameworkPriority: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