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HSV2-TPK-2026-04-06-UNASSIGNED-RS-RF04_Refinery_No_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RS-RF04 | Refinery: No Third-Party Audit (Steps 4-5)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auditor appointed, no MOE report submitted, unrecognized auditor, unremediated findings, no annual report. Context: 32 refineries suspended 2024, 256 AML violations, AED 146.35M fines (2021-2024).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RGG v9 Steps 4-5; MOE Inspection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No auditor appointed, no MOE report submitted, unrecognized auditor, unremediated findings, no annual report. Context: 32 refineries suspended 2024, 256 AML violations, AED 146.35M fines (2021-2024). Regulatory Basis: Ministerial Decree 68/2024 Steps 4-5; LBMA RGG v9 Steps 4-5; MOE Inspection Framework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