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HSV2-TPK-2026-04-06-UNASSIGNED-RS-RF05_CAHRA_Gold_W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RS-RF05 | CAHRA Gold Without Enhanced Measures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CAHRA origin without EDD: DRC, CAR, South Sudan, Mali, Burkina Faso, Myanmar. No engagement, mixed to dilute risk, unmonitored transport, undisclosed sub-suppliers.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Step 2 Annex B; OECD DDG Annex II;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RS-RF05 | CAHRA Gold Without Enhanced Measures - ENTITY: MADISON LLC CAHRA origin without EDD: DRC, CAR, South Sudan, Mali, Burkina Faso, Myanmar. No engagement, mixed to dilute risk, unmonitored transport, undisclosed sub-suppliers. Regulatory Basis: Ministerial Decree 68/2024; LBMA RGG v9 Step 2 Annex B; OECD DDG Annex II; FATF Guidance for DPMS (2020)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