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HSV2-TPK-2026-04-06-UNASSIGNED-RS-RF06_Mined_Gold_S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1213959825119950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RS-RF06 | Mined Gold Specific Sourcing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Mine-of-origin undisclosed, ASM without certification, expired licence, child/forced labour, environmental violations, armed group control, volumes exceed capacity, sanctioned state mine.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2-3; LBMA RGG v9 Steps 2-3; OECD DDG Supplement; ILO Convention 182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RS-RF06 | Mined Gold Specific Sourcing Red Flags - ENTITY: MADISON LLC Mine-of-origin undisclosed, ASM without certification, expired licence, child/forced labour, environmental violations, armed group control, volumes exceed capacity, sanctioned state mine. Regulatory Basis: Ministerial Decree 68/2024 Steps 2-3; LBMA RGG v9 Steps 2-3; OECD DDG Supplement; ILO Convention 182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