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HSV2-TPK-2026-04-06-UNASSIGNED-RS-RF06_Mined_Gold_S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RS-RF06 | Mined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Mine-of-origin undisclosed, ASM without certification, expired licence, child/forced labour, environmental violations, armed group control, volumes exceed capacity, sanctioned state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2-3; LBMA RGG v9 Steps 2-3; OECD DDG Supplement;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LLCMine-of-origin undisclosed, ASM without certification, expired licence, child/forced labour, environmental violations, armed group control, volumes exceed capacity, sanctioned state mine.Regulatory Basis: Ministerial Decree 68/2024 Steps 2-3; LBMA RGG v9 Steps 2-3; OECD DDG Supplement; ILO Convention 182Priority: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