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HSV2-TPK-2026-04-06-UNASSIGNED-RS-RF06_Mined_Gold_S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RS-RF06 | Mined Gold Specific Sourcing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Mine-of-origin undisclosed, ASM without certification, expired licence, child/forced labour, environmental violations, armed group control, volumes exceed capacity, sanctioned state mine.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Steps 2-3; LBMA RGG v9 Steps 2-3; OECD DDG Supplement; ILO Convention 182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RS-RF06 | Mined Gold Specific Sourcing Red Flags - ENTITY: FG LLC Mine-of-origin undisclosed, ASM without certification, expired licence, child/forced labour, environmental violations, armed group control, volumes exceed capacity, sanctioned state mine. Regulatory Basis: Ministerial Decree 68/2024 Steps 2-3; LBMA RGG v9 Steps 2-3; OECD DDG Supplement; ILO Convention 182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