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Mine-of-origin undisclosed, ASM without certification, expired licence, child/forced labour, environmental violations, armed group control, volumes exceed capacity, sanctioned state mine. Regulatory Basis: Ministerial Decree 68/2024 Steps 2-3; LBMA RGG v9 Steps 2-3; OECD DDG Supplement;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