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HSV2-TPK-2026-04-06-UNASSIGNED-RS-RF07_Recycled_Gol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RS-RF07 | Recycled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bypass DD, volumes exceed capacity, no pre-recycling form, unlicensed facility, no seller ID, melting to remove hallmarks, high purity inconsistent, sanctioned/delisted hallmarks.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Recycled Gold Annex; OECD DDG Sec. IV;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RS-RF07 | Recycled Gold Specific Sourcing Red Flags - ENTITY: MADISON LLC Recycled bypass DD, volumes exceed capacity, no pre-recycling form, unlicensed facility, no seller ID, melting to remove hallmarks, high purity inconsistent, sanctioned/delisted hallmarks. Regulatory Basis: Ministerial Decree 68/2024; LBMA RGG v9 Recycled Gold Annex; OECD DDG Sec. IV;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