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HSV2-TPK-2026-04-06-UNASSIGNED-RS-RF08_Intermediary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RS-RF08 | Intermediary and Aggregator Risks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verifiable mine/facility relationships, secrecy jurisdiction, commingled unverified sources, no upstream documentation, daisy-chain obscuring origin, newly established, sanctioned associations.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FATF Guidance for DPMS (2020); Cabinet Resolution 134/2025 Art.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RS-RF08 | Intermediary and Aggregator Risks - ENTITY: MADISON LLC No verifiable mine/facility relationships, secrecy jurisdiction, commingled unverified sources, no upstream documentation, daisy-chain obscuring origin, newly established, sanctioned associations. Regulatory Basis: Ministerial Decree 68/2024 Step 3; LBMA RGG v9 Step 3; FATF Guidance for DPMS (2020); Cabinet Resolution 134/2025 Art.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