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HSV2-TPK-2026-04-06-UNASSIGNED-RS-RF08_Intermediary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1213965323382529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RS-RF08 | Intermediary and Aggregator Risks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https://app.asana.com/1/1213645083721316/project/1213908611400789/task/1213965323382529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verifiable mine/facility relationships, secrecy jurisdiction, commingled unverified sources, no upstream documentation, daisy-chain obscuring origin, newly established, sanctioned associations.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3; LBMA RGG v9 Step 3; FATF Guidance for DPMS (2020); Cabinet Resolution 134/2025 Art. 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No verifiable mine/facility relationships, secrecy jurisdiction, commingled unverified sources, no upstream documentation, daisy-chain obscuring origin, newly established, sanctioned associations. Regulatory Basis: Ministerial Decree 68/2024 Step 3; LBMA RGG v9 Step 3; FATF Guidance for DPMS (2020); Cabinet Resolution 134/2025 Art. 9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