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HSV2-TPK-2026-04-06-UNASSIGNED-RS-RF10_MOE_Inspecti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1213959825119946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RS-RF10 | MOE Inspection Preparedness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1213959825119946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https://app.asana.com/1/1213645083721316/project/1213908611350810/task/1213959825119946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DD policy, outdated risk assessment, missing CDD files, no TFS screening evidence, incomplete training records, DPMSR filing gaps, no UBO register, no EWRA/BWRA. Context: 2,871 sanctions, AED 146.35M fines.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UAE FDL No.(10) of 2025 Art. 20; Cabinet Resolution 134/2025 Art. 58; MOE DPMS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RS-RF10 | MOE Inspection Preparedness Gaps - ENTITY: MADISON LLC No DD policy, outdated risk assessment, missing CDD files, no TFS screening evidence, incomplete training records, DPMSR filing gaps, no UBO register, no EWRA/BWRA. Context: 2,871 sanctions, AED 146.35M fines. Regulatory Basis: Ministerial Decree 68/2024; UAE FDL No.(10) of 2025 Art. 20; Cabinet Resolution 134/2025 Art. 58; MOE DPMS Framework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cash, dpmsrTrigger, cddGap,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