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HSV2-TPK-2026-04-06-UNASSIGNED-RS-RF10_MOE_Inspecti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RS-RF10 | MOE Inspection Preparedness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DD policy, outdated risk assessment, missing CDD files, no TFS screening evidence, incomplete training records, DPMSR filing gaps, no UBO register, no EWRA/BWRA. Context: 2,871 sanctions, AED 146.35M fines.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UAE FDL No.(10) of 2025 Art. 20; Cabinet Resolution 134/2025 Art. 58; MOE DPMS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LLCNo DD policy, outdated risk assessment, missing CDD files, no TFS screening evidence, incomplete training records, DPMSR filing gaps, no UBO register, no EWRA/BWRA. Context: 2,871 sanctions, AED 146.35M fines.Regulatory Basis: Ministerial Decree 68/2024; UAE FDL No.(10) of 2025 Art. 20; Cabinet Resolution 134/2025 Art. 58; MOE DPMS FrameworkPriority: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dpmsrTrigger,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