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RS-RF10 | MOE Inspection Preparedness Gaps - ENTITY: FG LLC No DD policy, outdated risk assessment, missing CDD files, no TFS screening evidence, incomplete training records, DPMSR filing gaps, no UBO register, no EWRA/BWRA. Context: 2,871 sanctions, AED 146.35M fines. Regulatory Basis: Ministerial Decree 68/2024; UAE FDL No.(10) of 2025 Art. 20; Cabinet Resolution 134/2025 Art. 58; MOE DPMS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