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1213964638768777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HSV2-TPK-2026-04-06-UNASSIGNED-RS-RF10_MOE_Inspecti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1213964638768777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RS-RF10 | MOE Inspection Preparedness Gaps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1213964638768777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https://app.asana.com/1/1213645083721316/project/1213908508433868/task/1213964638768777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DD policy, outdated risk assessment, missing CDD files, no TFS screening evidence, incomplete training records, DPMSR filing gaps, no UBO register, no EWRA/BWRA. Context: 2,871 sanctions, AED 146.35M fines.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68/2024; UAE FDL No.(10) of 2025 Art. 20; Cabinet Resolution 134/2025 Art. 58; MOE DPMS Framework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BRANCHNo DD policy, outdated risk assessment, missing CDD files, no TFS screening evidence, incomplete training records, DPMSR filing gaps, no UBO register, no EWRA/BWRA. Context: 2,871 sanctions, AED 146.35M fines.Regulatory Basis: Ministerial Decree 68/2024; UAE FDL No.(10) of 2025 Art. 20; Cabinet Resolution 134/2025 Art. 58; MOE DPMS FrameworkPriority: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cash, dpmsrTrigger, cddGap,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