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HSV2-TPK-2026-04-06-UNASSIGNED-TFS-01_EOCN_NAS_Regi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1213962484089630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TFS-01 | EOCN NAS Registration and Daily Screening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https://app.asana.com/1/1213645083721316/project/1213908611350810/task/1213962484089630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Verify EOCN NAS registration. Daily screening against: UAE Local Terrorist List, UN Consolidated, OFAC SDN, EU Consolidated. Define frequency, match escalation, evidence retention.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5, 21; UAE FDL No.(10) of 2025 Art. 22; EOCN TFS Guidance July 2025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TFS-01 | EOCN NAS Registration and Daily Screening | TFS AND SANCTIONS COMPLIANCE | ENTITY: MADISON LLCVerify EOCN NAS registration. Daily screening against: UAE Local Terrorist List, UN Consolidated, OFAC SDN, EU Consolidated. Define frequency, match escalation, evidence retention.Regulatory Basis: Cabinet Resolution 74/2020 Art. 5, 21; UAE FDL No.(10) of 2025 Art. 22; EOCN TFS Guidance July 2025Priority: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