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1213954968705605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HSV2-TPK-2026-04-06-UNASSIGNED-TFS-02_Asset_Freeze_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1213954968705605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TFS-02 | Asset Freeze Implementation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1213954968705605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https://app.asana.com/1/1213645083721316/project/1213909833048586/task/1213954968705605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Immediate freeze upon confirmed match: freeze without delay, document amounts, notify EOCN, file CNMR via goAML. Define scope, partial match handling, false positive clearance.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6-7; UAE FDL No.(10) of 2025 Art. 22; EOCN TFS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TFS-02 | Asset Freeze Implementation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LLCImmediate freeze upon confirmed match: freeze without delay, document amounts, notify EOCN, file CNMR via goAML. Define scope, partial match handling, false positive clearance.Regulatory Basis: Cabinet Resolution 74/2020 Art. 6-7; UAE FDL No.(10) of 2025 Art. 22; EOCN TFS GuidancePriority: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