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HSV2-TPK-2026-04-06-UNASSIGNED-TFS-02_Asset_Freeze_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TFS-02 | Asset Freeze Implementation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Immediate freeze upon confirmed match: freeze without delay, document amounts, notify EOCN, file CNMR via goAML. Define scope, partial match handling, false positive clearance.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FDL No.(10) of 2025 Art. 22; EOCN TFS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TFS-02 | Asset Freeze Implementation Procedure - ENTITY: GRAMALTIN ASImmediate freeze upon confirmed match: freeze without delay, document amounts, notify EOCN, file CNMR via goAML. Define scope, partial match handling, false positive clearance.Regulatory Basis: Cabinet Resolution 74/2020 Art. 6-7; UAE FDL No.(10) of 2025 Art. 22; EOCN TFS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