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HSV2-TPK-2026-04-06-UNASSIGNED-TFS-02_Asset_Freeze_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1213962484089629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TFS-02 | Asset Freeze Implementation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Immediate freeze upon confirmed match: freeze without delay, document amounts, notify EOCN, file CNMR via goAML. Define scope, partial match handling, false positive clearance.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6-7; UAE FDL No.(10) of 2025 Art. 22; EOCN TFS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TFS-02 | Asset Freeze Implementation Procedure | TFS AND SANCTIONS COMPLIANCE | ENTITY: MADISON LLCImmediate freeze upon confirmed match: freeze without delay, document amounts, notify EOCN, file CNMR via goAML. Define scope, partial match handling, false positive clearance.Regulatory Basis: Cabinet Resolution 74/2020 Art. 6-7; UAE FDL No.(10) of 2025 Art. 22; EOCN TFS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