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HSV2-TPK-2026-04-06-UNASSIGNED-TFS-03_Sanctions_Lis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TFS-03 | Sanctions List Update Monitoring and Integration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 and integrate list updates: UN (real-time), EOCN NAS alerts, OFAC/EU, NAMLCFTC. Define: update frequency verification, integration testing, gap period management.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Cabinet Resolution 134/2025 Art. 17;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TFS-03 | Sanctions List Update Monitoring and Integration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LLCMonitor and integrate list updates: UN (real-time), EOCN NAS alerts, OFAC/EU, NAMLCFTC. Define: update frequency verification, integration testing, gap period management.Regulatory Basis: Cabinet Resolution 74/2020 Art. 5; Cabinet Resolution 134/2025 Art. 17;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