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HSV2-TPK-2026-04-06-UNASSIGNED-TFS-03_Sanctions_Lis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1213958649536017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TFS-03 | Sanctions List Update Monitoring and Integration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https://app.asana.com/1/1213645083721316/project/1213908611400789/task/1213958649536017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Monitor and integrate list updates: UN (real-time), EOCN NAS alerts, OFAC/EU, NAMLCFTC. Define: update frequency verification, integration testing, gap period management.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Cabinet Resolution 134/2025 Art. 17; FATF Rec. 6-7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TFS-03 | Sanctions List Update Monitoring and Integration - ENTITY: GRAMALTIN ASMonitor and integrate list updates: UN (real-time), EOCN NAS alerts, OFAC/EU, NAMLCFTC. Define: update frequency verification, integration testing, gap period management.Regulatory Basis: Cabinet Resolution 74/2020 Art. 5; Cabinet Resolution 134/2025 Art. 17; FATF Rec. 6-7Priority: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