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HSV2-TPK-2026-04-06-UNASSIGNED-TFS-03_Sanctions_Lis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1213959825120018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TFS-03 | Sanctions List Update Monitoring and Integration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https://app.asana.com/1/1213645083721316/project/1213908827982041/task/1213959825120018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Monitor and integrate list updates: UN (real-time), EOCN NAS alerts, OFAC/EU, NAMLCFTC. Define: update frequency verification, integration testing, gap period management.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5; Cabinet Resolution 134/2025 Art. 17; FATF Rec. 6-7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TFS-03 | Sanctions List Update Monitoring and Integration - ENTITY: NAPLES LLCMonitor and integrate list updates: UN (real-time), EOCN NAS alerts, OFAC/EU, NAMLCFTC. Define: update frequency verification, integration testing, gap period management.Regulatory Basis: Cabinet Resolution 74/2020 Art. 5; Cabinet Resolution 134/2025 Art. 17; FATF Rec. 6-7Priority: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