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HSV2-TPK-2026-04-06-UNASSIGNED-TFS-03_Sanctions_Lis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TFS-03 | Sanctions List Update Monitoring and Integration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 and integrate list updates: UN (real-time), EOCN NAS alerts, OFAC/EU, NAMLCFTC. Define: update frequency verification, integration testing, gap period management.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Cabinet Resolution 134/2025 Art. 17;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TFS-03 | Sanctions List Update Monitoring and Integration - ENTITY: FG BRANCHMonitor and integrate list updates: UN (real-time), EOCN NAS alerts, OFAC/EU, NAMLCFTC. Define: update frequency verification, integration testing, gap period management.Regulatory Basis: Cabinet Resolution 74/2020 Art. 5; Cabinet Resolution 134/2025 Art. 17;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