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HSV2-TPK-2026-04-06-UNASSIGNED-TFS-03_Sanctions_Lis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TFS-03 | Sanctions List Update Monitoring and Integration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 and integrate list updates: UN (real-time), EOCN NAS alerts, OFAC/EU, NAMLCFTC. Define: update frequency verification, integration testing, gap period management.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Cabinet Resolution 134/2025 Art. 17;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TFS-03 | Sanctions List Update Monitoring and Integration | TFS AND SANCTIONS COMPLIANCE | ENTITY: MADISON LLCMonitor and integrate list updates: UN (real-time), EOCN NAS alerts, OFAC/EU, NAMLCFTC. Define: update frequency verification, integration testing, gap period management.Regulatory Basis: Cabinet Resolution 74/2020 Art. 5; Cabinet Resolution 134/2025 Art. 17;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