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HSV2-TPK-2026-04-06-UNASSIGNED-TFS-08_EOCN_Grievanc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1213954968705599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TFS-08 | EOCN Grievance and Delisting Notification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https://app.asana.com/1/1213645083721316/project/1213909833048586/task/1213954968705599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requests for delisting/grievance: communication protocol, documentation, EOCN referral, confidentiality, timeline tracking.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15-16; EOCN Delisting Guidance; FATF Rec. 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TFS-08 | EOCN Grievance and Delisting Notification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LLCCustomer requests for delisting/grievance: communication protocol, documentation, EOCN referral, confidentiality, timeline tracking.Regulatory Basis: Cabinet Resolution 74/2020 Art. 15-16; EOCN Delisting Guidance; FATF Rec. 6Priority: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