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HSV2-TPK-2026-04-06-UNASSIGNED-TFS-08_EOCN_Grievanc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1213958649536012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TFS-08 | EOCN Grievance and Delisting Notification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requests for delisting/grievance: communication protocol, documentation, EOCN referral, confidentiality, timeline tracking.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15-16; EOCN Delisting Guidance; FATF Rec.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TFS-08 | EOCN Grievance and Delisting Notification - ENTITY: GRAMALTIN ASCustomer requests for delisting/grievance: communication protocol, documentation, EOCN referral, confidentiality, timeline tracking.Regulatory Basis: Cabinet Resolution 74/2020 Art. 15-16; EOCN Delisting Guidance; FATF Rec. 6Priority: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