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HSV2-TPK-2026-04-06-UNASSIGNED-TFS-08_EOCN_Grievanc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TFS-08 | EOCN Grievance and Delisting Notification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requests for delisting/grievance: communication protocol, documentation, EOCN referral, confidentiality, timeline tracking.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15-16; EOCN Delisting Guidance; FATF Rec. 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TFS-08 | EOCN Grievance and Delisting Notification | TFS AND SANCTIONS COMPLIANCE | ENTITY: MADISON LLCCustomer requests for delisting/grievance: communication protocol, documentation, EOCN referral, confidentiality, timeline tracking.Regulatory Basis: Cabinet Resolution 74/2020 Art. 15-16; EOCN Delisting Guidance; FATF Rec. 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