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HSV2-TPK-2026-04-06-UNASSIGNED-TM-04_Cash_Transacti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TM-04 | Cash Transaction Reporting and Threshold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AED 55,000 threshold monitoring: aggregation rules, currency conversion, reporting timeline, LCTR template per FIU requirements.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19-20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AED 55,000 threshold monitoring: aggregation rules, currency conversion, reporting timeline, LCTR template per FIU requirements. Regulatory Basis: UAE FDL No.(10) of 2025 Art. 15; Cabinet Resolution 134/2025 Art. 17; FATF Rec. 19-20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