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HSV2-TPK-2026-04-06-UNASSIGNED-TM-04_Cash_Transacti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1213959825122826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TM-04 | Cash Transaction Reporting and Threshold Monitoring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https://app.asana.com/1/1213645083721316/project/1213908611350810/task/1213959825122826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AED 55,000 threshold monitoring: aggregation rules, currency conversion, reporting timeline, LCTR template per FIU requirements.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17; FATF Rec. 19-20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TM-04 | Cash Transaction Reporting and Threshold Monitoring - ENTITY: MADISON LLC AED 55,000 threshold monitoring: aggregation rules, currency conversion, reporting timeline, LCTR template per FIU requirements. Regulatory Basis: UAE FDL No.(10) of 2025 Art. 15; Cabinet Resolution 134/2025 Art. 17; FATF Rec. 19-20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