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HSV2-TPK-2026-04-06-UNASSIGNED-TM-04_Cash_Transacti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TM-04 | Cash Transaction Reporting and Threshold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AED 55,000 threshold monitoring: aggregation rules, currency conversion, reporting timeline, LCTR template per FIU requirements.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19-20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TM-04 | Cash Transaction Reporting and Threshold Monitoring - ENTITY: ZOE FZE AED 55,000 threshold monitoring: aggregation rules, currency conversion, reporting timeline, LCTR template per FIU requirements. Regulatory Basis: UAE FDL No.(10) of 2025 Art. 15; Cabinet Resolution 134/2025 Art. 17; FATF Rec. 19-20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