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HSV2-TPK-2026-04-06-UNASSIGNED-TM-04_Cash_Transacti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1213962483856596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TM-04 | Cash Transaction Reporting and Threshold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AED 55,000 threshold monitoring: aggregation rules, currency conversion, reporting timeline, LCTR template per FIU requirements.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19-20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TM-04 | Cash Transaction Reporting and Threshold Monitoring - ENTITY: GRAMALTIN AS AED 55,000 threshold monitoring: aggregation rules, currency conversion, reporting timeline, LCTR template per FIU requirements. Regulatory Basis: UAE FDL No.(10) of 2025 Art. 15; Cabinet Resolution 134/2025 Art. 17; FATF Rec. 19-20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