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HSV2-TPK-2026-04-06-UNASSIGNED-TM-04_Cash_Transacti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TM-04 | Cash Transaction Reporting and Threshold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AED 55,000 threshold monitoring: aggregation rules, currency conversion, reporting timeline, LCTR template per FIU requirements.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19-20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TM-04 | Cash Transaction Reporting and Threshold Monitoring - ENTITY: FG LLC AED 55,000 threshold monitoring: aggregation rules, currency conversion, reporting timeline, LCTR template per FIU requirements. Regulatory Basis: UAE FDL No.(10) of 2025 Art. 15; Cabinet Resolution 134/2025 Art. 17; FATF Rec. 19-20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