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HSV2-TPK-2026-04-06-UNASSIGNED-TM-04_Cash_Transacti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TM-04 | Cash Transaction Reporting and Threshold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AED 55,000 threshold monitoring: aggregation rules, currency conversion, reporting timeline, LCTR template per FIU requirements.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19-20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TM-04 | Cash Transaction Reporting and Threshold Monitoring - ENTITY: NAPLES LLC AED 55,000 threshold monitoring: aggregation rules, currency conversion, reporting timeline, LCTR template per FIU requirements. Regulatory Basis: UAE FDL No.(10) of 2025 Art. 15; Cabinet Resolution 134/2025 Art. 17; FATF Rec. 19-20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