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HSV2-TPK-2026-04-06-UNASSIGNED-TM-07_TBML_Transacti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TM-07 | TBML Transaction Monitoring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TBML-specific: pricing variance vs. LBMA fix (&gt;5%), invoice manipulation, weight/purity mismatches, round-trip detection, counterparty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Report; UAE FDL No.(10) of 2025 Art. 4, 15;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TBML-specific: pricing variance vs. LBMA fix (&gt;5%), invoice manipulation, weight/purity mismatches, round-trip detection, counterparty anomalies. Regulatory Basis: FATF TBML Report; UAE FDL No.(10) of 2025 Art. 4, 15;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