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HSV2-TPK-2026-04-06-UNASSIGNED-TM-07_TBML_Transacti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TM-07 | TBML Transaction Monitoring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TBML-specific: pricing variance vs. LBMA fix (&gt;5%), invoice manipulation, weight/purity mismatches, round-trip detection, counterparty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Report; UAE FDL No.(10) of 2025 Art. 4, 15;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TM-07 | TBML Transaction Monitoring Rules - ENTITY: ZOE FZE TBML-specific: pricing variance vs. LBMA fix (&gt;5%), invoice manipulation, weight/purity mismatches, round-trip detection, counterparty anomalies. Regulatory Basis: FATF TBML Report; UAE FDL No.(10) of 2025 Art. 4, 15;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