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HSV2-TPK-2026-04-06-UNASSIGNED-TM-07_TBML_Transacti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1213962483856593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TM-07 | TBML Transaction Monitoring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1213962483856593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https://app.asana.com/1/1213645083721316/project/1213908611400789/task/1213962483856593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TBML-specific: pricing variance vs. LBMA fix (&gt;5%), invoice manipulation, weight/purity mismatches, round-trip detection, counterparty anomalies.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Report; UAE FDL No.(10) of 2025 Art. 4, 15;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TM-07 | TBML Transaction Monitoring Rules - ENTITY: GRAMALTIN AS TBML-specific: pricing variance vs. LBMA fix (&gt;5%), invoice manipulation, weight/purity mismatches, round-trip detection, counterparty anomalies. Regulatory Basis: FATF TBML Report; UAE FDL No.(10) of 2025 Art. 4, 15;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