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MONITORING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HSV2-TXM-2026-04-16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Monitoring run 2026-04-16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processed 0 transaction(s) from the transaction register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Each transaction was tested against eight rule-based detection patterns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plus a rolling thirty-day cash aggregation check per counterparty.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DETECTION RULES APPLIED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DPMSR trigger: cash component at or above the reporting threshold.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Structuring indicator: cash component just below the threshold.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Round amount: total consideration is a round figure (AED 10k increments).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High-risk jurisdiction: counterparty or transaction linked to a FATF grey-list or sanctioned jurisdiction.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5. All-cash settlement: entire transaction settled in cash above AED 15,000.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6. Same-day aggregation: multiple transactions with the same counterparty on the same day exceeding the threshold in aggregate.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7. Rapid frequency: three or more transactions with the same counterparty within seven days.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8. Unusual payment method: hawala, cryptocurrency, virtual currency, bearer instrument.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9. Rolling thirty-day aggregation: cumulative cash across all transactions with the same counterparty over any thirty-day window.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Metric              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transactions processed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Transactions flagged 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30-day alerts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distinct alerts         0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ALERTS BY RULE TYPE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alerts triggered today.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alerts. File this monitoring record. Repeat tomorrow.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